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0419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12C48" wp14:editId="400CAED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D8863C" w14:textId="77777777" w:rsidR="00B804CA" w:rsidRPr="005519A1" w:rsidRDefault="00B804CA" w:rsidP="00B804C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6A27874" w14:textId="77777777" w:rsidR="00B804CA" w:rsidRPr="005519A1" w:rsidRDefault="00B804CA" w:rsidP="00B804C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1F3A6A5" w14:textId="77777777" w:rsidR="00B804CA" w:rsidRPr="005519A1" w:rsidRDefault="00B804CA" w:rsidP="00B804C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8012C4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DD8863C" w14:textId="77777777" w:rsidR="00B804CA" w:rsidRPr="005519A1" w:rsidRDefault="00B804CA" w:rsidP="00B804C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6A27874" w14:textId="77777777" w:rsidR="00B804CA" w:rsidRPr="005519A1" w:rsidRDefault="00B804CA" w:rsidP="00B804C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1F3A6A5" w14:textId="77777777" w:rsidR="00B804CA" w:rsidRPr="005519A1" w:rsidRDefault="00B804CA" w:rsidP="00B804C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00121579">
        <w:rPr>
          <w:rFonts w:ascii="Garamond" w:eastAsia="Garamond" w:hAnsi="Garamond" w:cs="Garamond"/>
          <w:color w:val="000000" w:themeColor="text1"/>
        </w:rPr>
        <w:t>Spisová značka: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44A30C2C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Číslo jednací: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3E16CCB3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Kontaktní osoba: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121579">
        <w:rPr>
          <w:rFonts w:ascii="Garamond" w:eastAsia="Garamond" w:hAnsi="Garamond" w:cs="Garamond"/>
          <w:color w:val="000000" w:themeColor="text1"/>
        </w:rPr>
        <w:t>&gt;, tel.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0BB7CB45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V 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121579">
        <w:rPr>
          <w:rFonts w:ascii="Garamond" w:eastAsia="Garamond" w:hAnsi="Garamond" w:cs="Garamond"/>
          <w:color w:val="000000" w:themeColor="text1"/>
        </w:rPr>
        <w:t xml:space="preserve">&gt; dne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24FDBA2F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  <w:highlight w:val="yellow"/>
        </w:rPr>
      </w:pPr>
    </w:p>
    <w:p w14:paraId="34DC65AE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06359E6E" w14:textId="77777777" w:rsidR="00B804CA" w:rsidRPr="00121579" w:rsidRDefault="00B804CA" w:rsidP="00B804CA">
      <w:pPr>
        <w:jc w:val="center"/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  <w:t>Rozhodnutí</w:t>
      </w:r>
    </w:p>
    <w:p w14:paraId="520B89BF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1FB04F89" w14:textId="77777777" w:rsidR="00B804CA" w:rsidRPr="00121579" w:rsidRDefault="00B804CA" w:rsidP="00B804CA">
      <w:pPr>
        <w:jc w:val="both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úřad vydávající rozhodnutí</w:t>
      </w:r>
      <w:r w:rsidRPr="00121579">
        <w:rPr>
          <w:rFonts w:ascii="Garamond" w:eastAsia="Aptos" w:hAnsi="Garamond" w:cs="Calibri"/>
          <w:color w:val="000000" w:themeColor="text1"/>
        </w:rPr>
        <w:t xml:space="preserve">&gt;,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odbor sociálních věcí,</w:t>
      </w:r>
      <w:r w:rsidRPr="00121579">
        <w:rPr>
          <w:rFonts w:ascii="Garamond" w:eastAsia="Aptos" w:hAnsi="Garamond" w:cs="Calibri"/>
          <w:color w:val="000000" w:themeColor="text1"/>
        </w:rPr>
        <w:t xml:space="preserve">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úřadu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eastAsia="Aptos" w:hAnsi="Garamond" w:cs="Aptos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</w:rPr>
        <w:t xml:space="preserve">(dále také „my“), </w:t>
      </w:r>
      <w:r w:rsidRPr="00121579">
        <w:rPr>
          <w:rFonts w:ascii="Garamond" w:eastAsia="Garamond" w:hAnsi="Garamond" w:cs="Garamond"/>
          <w:color w:val="000000" w:themeColor="text1"/>
        </w:rPr>
        <w:t>v řízení o žádosti o udělení základního pověření k poskytování</w:t>
      </w:r>
      <w:r>
        <w:rPr>
          <w:rFonts w:ascii="Garamond" w:eastAsia="Garamond" w:hAnsi="Garamond" w:cs="Garamond"/>
          <w:color w:val="000000" w:themeColor="text1"/>
        </w:rPr>
        <w:t xml:space="preserve"> bydlení s ručením a podnájemního bydlení</w:t>
      </w:r>
      <w:r w:rsidRPr="00121579">
        <w:rPr>
          <w:rFonts w:ascii="Garamond" w:eastAsia="Garamond" w:hAnsi="Garamond" w:cs="Garamond"/>
          <w:color w:val="000000" w:themeColor="text1"/>
        </w:rPr>
        <w:t xml:space="preserve">, </w:t>
      </w:r>
      <w:r w:rsidRPr="00121579">
        <w:rPr>
          <w:rFonts w:ascii="Garamond" w:hAnsi="Garamond" w:cs="Calibri"/>
          <w:color w:val="000000" w:themeColor="text1"/>
        </w:rPr>
        <w:t xml:space="preserve">doručené dne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datum doručení žádosti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</w:t>
      </w:r>
      <w:r>
        <w:rPr>
          <w:rFonts w:ascii="Garamond" w:hAnsi="Garamond" w:cs="Calibri"/>
          <w:color w:val="000000" w:themeColor="text1"/>
        </w:rPr>
        <w:t xml:space="preserve">naše </w:t>
      </w:r>
      <w:r w:rsidRPr="00121579">
        <w:rPr>
          <w:rFonts w:ascii="Garamond" w:hAnsi="Garamond" w:cs="Calibri"/>
          <w:color w:val="000000" w:themeColor="text1"/>
        </w:rPr>
        <w:t xml:space="preserve">č. j. </w:t>
      </w:r>
      <w:r w:rsidRPr="00121579">
        <w:rPr>
          <w:rFonts w:ascii="Garamond" w:eastAsia="Garamond" w:hAnsi="Garamond" w:cs="Garamond"/>
          <w:color w:val="000000" w:themeColor="text1"/>
        </w:rPr>
        <w:t>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 xml:space="preserve">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osoby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121579">
        <w:rPr>
          <w:rFonts w:ascii="Garamond" w:eastAsia="Aptos" w:hAnsi="Garamond" w:cs="Calibri"/>
          <w:color w:val="000000" w:themeColor="text1"/>
        </w:rPr>
        <w:t>&gt;, se sídlem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121579">
        <w:rPr>
          <w:rFonts w:ascii="Garamond" w:eastAsia="Aptos" w:hAnsi="Garamond" w:cs="Calibri"/>
          <w:color w:val="000000" w:themeColor="text1"/>
        </w:rPr>
        <w:t xml:space="preserve">&gt;, IČO: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&lt;IČ</w:t>
      </w:r>
      <w:r w:rsidRPr="00121579">
        <w:rPr>
          <w:rFonts w:ascii="Garamond" w:eastAsia="Aptos" w:hAnsi="Garamond" w:cs="Calibri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poskytovatele</w:t>
      </w:r>
      <w:r w:rsidRPr="00121579">
        <w:rPr>
          <w:rFonts w:ascii="Garamond" w:eastAsia="Aptos" w:hAnsi="Garamond" w:cs="Calibri"/>
          <w:color w:val="000000" w:themeColor="text1"/>
        </w:rPr>
        <w:t>&gt;, (dále také „</w:t>
      </w:r>
      <w:r>
        <w:rPr>
          <w:rFonts w:ascii="Garamond" w:eastAsia="Aptos" w:hAnsi="Garamond" w:cs="Calibri"/>
          <w:color w:val="000000" w:themeColor="text1"/>
        </w:rPr>
        <w:t>V</w:t>
      </w:r>
      <w:r w:rsidRPr="00121579">
        <w:rPr>
          <w:rFonts w:ascii="Garamond" w:eastAsia="Aptos" w:hAnsi="Garamond" w:cs="Calibri"/>
          <w:color w:val="000000" w:themeColor="text1"/>
        </w:rPr>
        <w:t xml:space="preserve">y“), </w:t>
      </w:r>
      <w:r w:rsidRPr="00121579">
        <w:rPr>
          <w:rFonts w:ascii="Garamond" w:eastAsia="Garamond" w:hAnsi="Garamond" w:cs="Garamond"/>
          <w:color w:val="000000" w:themeColor="text1"/>
        </w:rPr>
        <w:t>podle § 111 odst. 1</w:t>
      </w:r>
      <w:r>
        <w:rPr>
          <w:rFonts w:ascii="Garamond" w:eastAsia="Garamond" w:hAnsi="Garamond" w:cs="Garamond"/>
          <w:color w:val="000000" w:themeColor="text1"/>
        </w:rPr>
        <w:t xml:space="preserve"> a</w:t>
      </w:r>
      <w:r w:rsidRPr="00121579">
        <w:rPr>
          <w:rFonts w:ascii="Garamond" w:eastAsia="Garamond" w:hAnsi="Garamond" w:cs="Garamond"/>
          <w:color w:val="000000" w:themeColor="text1"/>
        </w:rPr>
        <w:t xml:space="preserve"> 7 a § 112 zákona č. 175/2025 Sb.</w:t>
      </w:r>
      <w:r>
        <w:rPr>
          <w:rFonts w:ascii="Garamond" w:eastAsia="Garamond" w:hAnsi="Garamond" w:cs="Garamond"/>
          <w:color w:val="000000" w:themeColor="text1"/>
        </w:rPr>
        <w:t>,</w:t>
      </w:r>
      <w:r w:rsidRPr="00121579">
        <w:rPr>
          <w:rFonts w:ascii="Garamond" w:eastAsia="Garamond" w:hAnsi="Garamond" w:cs="Garamond"/>
          <w:color w:val="000000" w:themeColor="text1"/>
        </w:rPr>
        <w:t xml:space="preserve"> o poskytování některých opatření v podpoře bydlení (zákon o podpoře bydlení)</w:t>
      </w:r>
      <w:r w:rsidRPr="00121579">
        <w:rPr>
          <w:rFonts w:ascii="Garamond" w:hAnsi="Garamond" w:cs="Calibri"/>
          <w:color w:val="000000" w:themeColor="text1"/>
        </w:rPr>
        <w:t xml:space="preserve">, rozhodl </w:t>
      </w:r>
      <w:r w:rsidRPr="00121579">
        <w:rPr>
          <w:rFonts w:ascii="Garamond" w:eastAsia="Garamond" w:hAnsi="Garamond" w:cs="Garamond"/>
          <w:color w:val="000000" w:themeColor="text1"/>
        </w:rPr>
        <w:t>takto:</w:t>
      </w:r>
    </w:p>
    <w:p w14:paraId="49E80ADE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65F5C727" w14:textId="77777777" w:rsidR="00B804CA" w:rsidRDefault="00B804CA" w:rsidP="00B804CA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Udělujeme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ám pro území 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 xml:space="preserve">&gt; základní pověření k poskytování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 na dobu</w:t>
      </w:r>
      <w:r w:rsidRPr="0070474A">
        <w:rPr>
          <w:rFonts w:ascii="Garamond" w:eastAsia="Garamond" w:hAnsi="Garamond" w:cs="Garamond"/>
          <w:color w:val="000000" w:themeColor="text1"/>
        </w:rPr>
        <w:t xml:space="preserve"> 9 let ode dne právní moci tohoto rozhodnutí.</w:t>
      </w:r>
    </w:p>
    <w:p w14:paraId="20E62193" w14:textId="77777777" w:rsidR="00B804CA" w:rsidRDefault="00B804CA" w:rsidP="00B804CA">
      <w:pPr>
        <w:pStyle w:val="Odstavecseseznamem"/>
        <w:jc w:val="both"/>
        <w:rPr>
          <w:rFonts w:ascii="Garamond" w:eastAsia="Garamond" w:hAnsi="Garamond" w:cs="Garamond"/>
          <w:color w:val="000000" w:themeColor="text1"/>
        </w:rPr>
      </w:pPr>
    </w:p>
    <w:p w14:paraId="37A2C84A" w14:textId="77777777" w:rsidR="00B804CA" w:rsidRPr="00D56D9D" w:rsidRDefault="00B804CA" w:rsidP="00B804CA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Pověřujeme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ás v souvislosti s činností uvedenou v předchozím bodě výkonem Služeb obecného hospodářského zájmu</w:t>
      </w:r>
      <w:r>
        <w:rPr>
          <w:rFonts w:ascii="Garamond" w:eastAsia="Garamond" w:hAnsi="Garamond" w:cs="Garamond"/>
          <w:color w:val="000000" w:themeColor="text1"/>
        </w:rPr>
        <w:t xml:space="preserve"> ve smyslu rozhodnutí Komise (EU) 2025/2630 ze dne </w:t>
      </w:r>
      <w:r w:rsidRPr="00FB56B5">
        <w:rPr>
          <w:rFonts w:ascii="Garamond" w:eastAsia="Garamond" w:hAnsi="Garamond" w:cs="Garamond"/>
          <w:color w:val="000000" w:themeColor="text1"/>
        </w:rPr>
        <w:t>16.</w:t>
      </w:r>
      <w:r>
        <w:rPr>
          <w:rFonts w:ascii="Garamond" w:eastAsia="Garamond" w:hAnsi="Garamond" w:cs="Garamond"/>
          <w:color w:val="000000" w:themeColor="text1"/>
        </w:rPr>
        <w:t> </w:t>
      </w:r>
      <w:r w:rsidRPr="00FB56B5">
        <w:rPr>
          <w:rFonts w:ascii="Garamond" w:eastAsia="Garamond" w:hAnsi="Garamond" w:cs="Garamond"/>
          <w:color w:val="000000" w:themeColor="text1"/>
        </w:rPr>
        <w:t>prosince 2025 o použití čl. 106 odst. 2 Smlouvy o fungování Evropské unie na státní podporu ve formě vyrovnávací platby za závazek veřejné služby udělené určitým podnikům pověřeným poskytováním služeb obecného hospodářského zájmu a o zrušení rozhodnutí 2012/21/EU (dále jen „Rozhodnutí</w:t>
      </w:r>
      <w:r>
        <w:rPr>
          <w:rFonts w:ascii="Garamond" w:eastAsia="Garamond" w:hAnsi="Garamond" w:cs="Garamond"/>
          <w:color w:val="000000" w:themeColor="text1"/>
        </w:rPr>
        <w:t xml:space="preserve"> Komise</w:t>
      </w:r>
      <w:r w:rsidRPr="00FB56B5">
        <w:rPr>
          <w:rFonts w:ascii="Garamond" w:eastAsia="Garamond" w:hAnsi="Garamond" w:cs="Garamond"/>
          <w:color w:val="000000" w:themeColor="text1"/>
        </w:rPr>
        <w:t>“)</w:t>
      </w:r>
      <w:r w:rsidRPr="0070474A">
        <w:rPr>
          <w:rFonts w:ascii="Garamond" w:eastAsia="Garamond" w:hAnsi="Garamond" w:cs="Garamond"/>
          <w:b/>
          <w:bCs/>
          <w:color w:val="000000" w:themeColor="text1"/>
        </w:rPr>
        <w:t xml:space="preserve"> </w:t>
      </w:r>
      <w:r w:rsidRPr="0070474A">
        <w:rPr>
          <w:rFonts w:ascii="Garamond" w:hAnsi="Garamond"/>
          <w:color w:val="000000" w:themeColor="text1"/>
        </w:rPr>
        <w:t>v režimu [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ve smyslu </w:t>
      </w:r>
      <w:r>
        <w:rPr>
          <w:rFonts w:ascii="Garamond" w:hAnsi="Garamond"/>
          <w:color w:val="000000" w:themeColor="text1"/>
        </w:rPr>
        <w:t>n</w:t>
      </w:r>
      <w:r w:rsidRPr="0070474A">
        <w:rPr>
          <w:rFonts w:ascii="Garamond" w:hAnsi="Garamond"/>
          <w:color w:val="000000" w:themeColor="text1"/>
        </w:rPr>
        <w:t>ařízení Komise (EU) 2023/2832 ze dne 13. prosince 2023 o použití článků 107 a 108 Smlouvy o</w:t>
      </w:r>
      <w:r>
        <w:rPr>
          <w:rFonts w:ascii="Garamond" w:hAnsi="Garamond"/>
          <w:color w:val="000000" w:themeColor="text1"/>
        </w:rPr>
        <w:t> </w:t>
      </w:r>
      <w:r w:rsidRPr="0070474A">
        <w:rPr>
          <w:rFonts w:ascii="Garamond" w:hAnsi="Garamond"/>
          <w:color w:val="000000" w:themeColor="text1"/>
        </w:rPr>
        <w:t xml:space="preserve">fungování Evropské unie na podporu 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udílenou podnikům poskytujícím služby obecného hospodářského zájmu</w:t>
      </w:r>
      <w:r>
        <w:rPr>
          <w:rFonts w:ascii="Garamond" w:hAnsi="Garamond"/>
          <w:color w:val="000000" w:themeColor="text1"/>
        </w:rPr>
        <w:t xml:space="preserve"> (dále jen „Nařízení Komise)</w:t>
      </w:r>
      <w:r w:rsidRPr="0070474A"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  <w:highlight w:val="yellow"/>
        </w:rPr>
        <w:t>v případě určení režimu vyrovnávací platby:</w:t>
      </w:r>
      <w:r w:rsidRPr="0070474A">
        <w:rPr>
          <w:rFonts w:ascii="Garamond" w:hAnsi="Garamond"/>
          <w:color w:val="000000" w:themeColor="text1"/>
        </w:rPr>
        <w:t xml:space="preserve"> [vyrovnávací platby</w:t>
      </w:r>
      <w:r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</w:rPr>
        <w:t>v tomto znění:</w:t>
      </w:r>
    </w:p>
    <w:p w14:paraId="7AEA8816" w14:textId="77777777" w:rsidR="00B804CA" w:rsidRPr="00D56D9D" w:rsidRDefault="00B804CA" w:rsidP="00B804CA">
      <w:pPr>
        <w:rPr>
          <w:rFonts w:ascii="Garamond" w:hAnsi="Garamond"/>
          <w:color w:val="000000" w:themeColor="text1"/>
        </w:rPr>
      </w:pPr>
    </w:p>
    <w:p w14:paraId="12739F98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Náplň závazků veřejné služby: </w:t>
      </w:r>
    </w:p>
    <w:p w14:paraId="78BE3766" w14:textId="77777777" w:rsidR="00B804CA" w:rsidRPr="00B51FE5" w:rsidRDefault="00B804CA" w:rsidP="00B804CA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Náplní závazků </w:t>
      </w:r>
      <w:r w:rsidRPr="00B51FE5">
        <w:rPr>
          <w:rFonts w:ascii="Garamond" w:hAnsi="Garamond"/>
          <w:b/>
          <w:bCs/>
          <w:color w:val="000000" w:themeColor="text1"/>
        </w:rPr>
        <w:t xml:space="preserve">je </w:t>
      </w:r>
      <w:r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</w:t>
      </w:r>
      <w:r w:rsidRPr="00B51FE5">
        <w:rPr>
          <w:rFonts w:ascii="Garamond" w:hAnsi="Garamond"/>
          <w:b/>
          <w:bCs/>
          <w:color w:val="000000" w:themeColor="text1"/>
        </w:rPr>
        <w:t xml:space="preserve"> </w:t>
      </w:r>
      <w:r>
        <w:rPr>
          <w:rFonts w:ascii="Garamond" w:hAnsi="Garamond"/>
          <w:b/>
          <w:bCs/>
          <w:color w:val="000000" w:themeColor="text1"/>
        </w:rPr>
        <w:t>I.</w:t>
      </w:r>
      <w:r w:rsidRPr="00B51FE5">
        <w:rPr>
          <w:rFonts w:ascii="Garamond" w:hAnsi="Garamond"/>
          <w:b/>
          <w:bCs/>
          <w:color w:val="000000" w:themeColor="text1"/>
        </w:rPr>
        <w:t xml:space="preserve"> rozhodnutí</w:t>
      </w:r>
      <w:r w:rsidRPr="00B51FE5">
        <w:rPr>
          <w:rFonts w:ascii="Garamond" w:hAnsi="Garamond"/>
          <w:color w:val="000000" w:themeColor="text1"/>
        </w:rPr>
        <w:t xml:space="preserve"> poskytování</w:t>
      </w:r>
      <w:r>
        <w:rPr>
          <w:rFonts w:ascii="Garamond" w:hAnsi="Garamond"/>
          <w:color w:val="000000" w:themeColor="text1"/>
        </w:rPr>
        <w:t xml:space="preserve"> bydlení s ručením a podnájemního bydlení</w:t>
      </w:r>
      <w:r w:rsidRPr="00B51FE5">
        <w:rPr>
          <w:rFonts w:ascii="Garamond" w:hAnsi="Garamond"/>
          <w:color w:val="000000" w:themeColor="text1"/>
        </w:rPr>
        <w:t xml:space="preserve"> podle části páté</w:t>
      </w:r>
      <w:r>
        <w:rPr>
          <w:rFonts w:ascii="Garamond" w:hAnsi="Garamond"/>
          <w:color w:val="000000" w:themeColor="text1"/>
        </w:rPr>
        <w:t xml:space="preserve"> hlavy I a II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34603233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Trvání závazků veřejné služby:</w:t>
      </w:r>
    </w:p>
    <w:p w14:paraId="6972A8D0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Trvání závazků je doba, na kterou se vydává pověření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>, tj. 9 let.</w:t>
      </w:r>
    </w:p>
    <w:p w14:paraId="6EC32F0B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Území poskytování veřejné služby: </w:t>
      </w:r>
    </w:p>
    <w:p w14:paraId="50F0A006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ab/>
        <w:t xml:space="preserve">Územím poskytování veřejné služby je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75C32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kraj uživatele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&gt;</w:t>
      </w:r>
    </w:p>
    <w:p w14:paraId="3A37D6BA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Podnik pověřený závazkem veřejné služby:</w:t>
      </w:r>
    </w:p>
    <w:p w14:paraId="0B358187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Pověřeným podnikem je </w:t>
      </w:r>
      <w:r w:rsidRPr="00B51FE5">
        <w:rPr>
          <w:rFonts w:ascii="Garamond" w:eastAsia="Aptos" w:hAnsi="Garamond" w:cs="Calibri"/>
          <w:color w:val="000000" w:themeColor="text1"/>
        </w:rPr>
        <w:t>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B51FE5">
        <w:rPr>
          <w:rFonts w:ascii="Garamond" w:eastAsia="Aptos" w:hAnsi="Garamond" w:cs="Calibri"/>
          <w:color w:val="000000" w:themeColor="text1"/>
        </w:rPr>
        <w:t>&gt;, se sídlem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B51FE5">
        <w:rPr>
          <w:rFonts w:ascii="Garamond" w:eastAsia="Aptos" w:hAnsi="Garamond" w:cs="Calibri"/>
          <w:color w:val="000000" w:themeColor="text1"/>
        </w:rPr>
        <w:t>&gt;, IČO: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IČ poskytovatele</w:t>
      </w:r>
      <w:r w:rsidRPr="00B51FE5">
        <w:rPr>
          <w:rFonts w:ascii="Garamond" w:eastAsia="Aptos" w:hAnsi="Garamond" w:cs="Calibri"/>
          <w:color w:val="000000" w:themeColor="text1"/>
        </w:rPr>
        <w:t>&gt;</w:t>
      </w:r>
    </w:p>
    <w:p w14:paraId="1EB6D75C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Povaha jakýchkoli výhradních nebo zvláštních práv udělených podniku orgánem poskytujícím podporu:</w:t>
      </w:r>
    </w:p>
    <w:p w14:paraId="6770AA8D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lastRenderedPageBreak/>
        <w:t xml:space="preserve">Podnik je oprávněn za splnění zákonných podmínek čerpat příspěvky </w:t>
      </w:r>
      <w:r>
        <w:rPr>
          <w:rFonts w:ascii="Garamond" w:hAnsi="Garamond"/>
          <w:color w:val="000000" w:themeColor="text1"/>
        </w:rPr>
        <w:t>po</w:t>
      </w:r>
      <w:r w:rsidRPr="00B51FE5">
        <w:rPr>
          <w:rFonts w:ascii="Garamond" w:hAnsi="Garamond"/>
          <w:color w:val="000000" w:themeColor="text1"/>
        </w:rPr>
        <w:t>dle zákona o podpoře bydlen</w:t>
      </w:r>
      <w:r>
        <w:rPr>
          <w:rFonts w:ascii="Garamond" w:hAnsi="Garamond"/>
          <w:color w:val="000000" w:themeColor="text1"/>
        </w:rPr>
        <w:t>í, které</w:t>
      </w:r>
      <w:r w:rsidRPr="00B51FE5">
        <w:rPr>
          <w:rFonts w:ascii="Garamond" w:hAnsi="Garamond"/>
          <w:color w:val="000000" w:themeColor="text1"/>
        </w:rPr>
        <w:t xml:space="preserve"> mají povahu vyrovnávací platby. O konkrétním nároku rozhodne Krajský úřad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 w:rsidRPr="00B51FE5">
        <w:rPr>
          <w:rFonts w:ascii="Garamond" w:hAnsi="Garamond"/>
          <w:color w:val="000000" w:themeColor="text1"/>
        </w:rPr>
        <w:t xml:space="preserve"> rozhodnutím podle § 85 </w:t>
      </w:r>
      <w:r>
        <w:rPr>
          <w:rFonts w:ascii="Garamond" w:hAnsi="Garamond"/>
          <w:color w:val="000000" w:themeColor="text1"/>
        </w:rPr>
        <w:t xml:space="preserve">a § 96 </w:t>
      </w:r>
      <w:r w:rsidRPr="00B51FE5">
        <w:rPr>
          <w:rFonts w:ascii="Garamond" w:hAnsi="Garamond"/>
          <w:color w:val="000000" w:themeColor="text1"/>
        </w:rPr>
        <w:t>zákona o podpoře bydlení v rámci samostatného řízení o žádosti podle části šesté hlavy II</w:t>
      </w:r>
      <w:r>
        <w:rPr>
          <w:rFonts w:ascii="Garamond" w:hAnsi="Garamond"/>
          <w:color w:val="000000" w:themeColor="text1"/>
        </w:rPr>
        <w:t xml:space="preserve"> a III</w:t>
      </w:r>
      <w:r w:rsidRPr="00B51FE5">
        <w:rPr>
          <w:rFonts w:ascii="Garamond" w:hAnsi="Garamond"/>
          <w:color w:val="000000" w:themeColor="text1"/>
        </w:rPr>
        <w:t xml:space="preserve"> zákona o podpoře bydlení.  </w:t>
      </w:r>
    </w:p>
    <w:p w14:paraId="684BE406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D56D9D">
        <w:rPr>
          <w:rFonts w:ascii="Garamond" w:hAnsi="Garamond"/>
          <w:color w:val="000000" w:themeColor="text1"/>
          <w:highlight w:val="yellow"/>
          <w:u w:val="single"/>
        </w:rPr>
        <w:t>V případě určení režimu vyrovnávací platby uvést i:</w:t>
      </w:r>
      <w:r>
        <w:rPr>
          <w:rFonts w:ascii="Garamond" w:hAnsi="Garamond"/>
          <w:color w:val="000000" w:themeColor="text1"/>
        </w:rPr>
        <w:t xml:space="preserve"> [</w:t>
      </w:r>
      <w:r w:rsidRPr="00B51FE5">
        <w:rPr>
          <w:rFonts w:ascii="Garamond" w:hAnsi="Garamond"/>
          <w:color w:val="000000" w:themeColor="text1"/>
        </w:rPr>
        <w:t>Popis kompenzačního mechanismu a parametrů pro výpočet, kontrolu a přezkoumání vyrovnávací platby:</w:t>
      </w:r>
    </w:p>
    <w:p w14:paraId="42779D3C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Kompenzační mechanismus sestává z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příspěvků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>podle zákona o podpoře bydlení přiznan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v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samostatn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řízení</w:t>
      </w:r>
      <w:r>
        <w:rPr>
          <w:rFonts w:ascii="Garamond" w:hAnsi="Garamond"/>
          <w:color w:val="000000" w:themeColor="text1"/>
        </w:rPr>
        <w:t>ch</w:t>
      </w:r>
      <w:r w:rsidRPr="00B51FE5">
        <w:rPr>
          <w:rFonts w:ascii="Garamond" w:hAnsi="Garamond"/>
          <w:color w:val="000000" w:themeColor="text1"/>
        </w:rPr>
        <w:t xml:space="preserve"> o žádosti, jak </w:t>
      </w:r>
      <w:r>
        <w:rPr>
          <w:rFonts w:ascii="Garamond" w:hAnsi="Garamond"/>
          <w:color w:val="000000" w:themeColor="text1"/>
        </w:rPr>
        <w:t xml:space="preserve">je </w:t>
      </w:r>
      <w:r w:rsidRPr="00B51FE5">
        <w:rPr>
          <w:rFonts w:ascii="Garamond" w:hAnsi="Garamond"/>
          <w:color w:val="000000" w:themeColor="text1"/>
        </w:rPr>
        <w:t>uvedeno výše</w:t>
      </w:r>
      <w:r>
        <w:rPr>
          <w:rFonts w:ascii="Garamond" w:hAnsi="Garamond"/>
          <w:color w:val="000000" w:themeColor="text1"/>
        </w:rPr>
        <w:t>,</w:t>
      </w:r>
      <w:r w:rsidRPr="00B51FE5">
        <w:rPr>
          <w:rFonts w:ascii="Garamond" w:hAnsi="Garamond"/>
          <w:color w:val="000000" w:themeColor="text1"/>
        </w:rPr>
        <w:t xml:space="preserve"> </w:t>
      </w:r>
      <w:r>
        <w:rPr>
          <w:rFonts w:ascii="Garamond" w:hAnsi="Garamond"/>
          <w:color w:val="000000" w:themeColor="text1"/>
        </w:rPr>
        <w:t>a</w:t>
      </w:r>
      <w:r w:rsidRPr="00B51FE5">
        <w:rPr>
          <w:rFonts w:ascii="Garamond" w:hAnsi="Garamond"/>
          <w:color w:val="000000" w:themeColor="text1"/>
        </w:rPr>
        <w:t xml:space="preserve"> to ve výši stanovené nařízením vlády na základě ustanovení § 76 odst. 1 zákona o podpoře bydlení ve znění účinném v době vydání rozhodnutí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01D7E596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Parametry pro výpočet výše příspěvku jsou stanoveny </w:t>
      </w:r>
      <w:r>
        <w:rPr>
          <w:rFonts w:ascii="Garamond" w:hAnsi="Garamond"/>
          <w:color w:val="000000" w:themeColor="text1"/>
        </w:rPr>
        <w:t>v § 76 až § 79 zákona o podpoře bydlení a v </w:t>
      </w:r>
      <w:r>
        <w:rPr>
          <w:rFonts w:ascii="Garamond" w:hAnsi="Garamond"/>
          <w:color w:val="000000" w:themeColor="text1"/>
          <w:highlight w:val="yellow"/>
        </w:rPr>
        <w:t>n</w:t>
      </w:r>
      <w:r w:rsidRPr="00D56D9D">
        <w:rPr>
          <w:rFonts w:ascii="Garamond" w:hAnsi="Garamond"/>
          <w:color w:val="000000" w:themeColor="text1"/>
          <w:highlight w:val="yellow"/>
        </w:rPr>
        <w:t>ařízení vlády č. 438/2025 Sb., o výši příspěvků podle zákona o podpoře bydlení.</w:t>
      </w:r>
    </w:p>
    <w:p w14:paraId="528F565A" w14:textId="77777777" w:rsidR="00B804CA" w:rsidRPr="00B51FE5" w:rsidRDefault="00B804CA" w:rsidP="00B804CA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Kontrolu nadměrné vyrovnávací platby provádí podle § 127 Ministerstvo pro místní rozvoj</w:t>
      </w:r>
      <w:r>
        <w:rPr>
          <w:rFonts w:ascii="Garamond" w:hAnsi="Garamond"/>
          <w:color w:val="000000" w:themeColor="text1"/>
        </w:rPr>
        <w:t>.</w:t>
      </w:r>
    </w:p>
    <w:p w14:paraId="5FF090A4" w14:textId="77777777" w:rsidR="00B804CA" w:rsidRPr="00B51FE5" w:rsidRDefault="00B804CA" w:rsidP="00B804CA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 k zamezení a vrácení jakékoli nadměrné vyrovnávací platby:</w:t>
      </w:r>
    </w:p>
    <w:p w14:paraId="2AE9BB2C" w14:textId="77777777" w:rsidR="00B804CA" w:rsidRPr="00B51FE5" w:rsidRDefault="00B804CA" w:rsidP="00B804CA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Opatřením k zamezení a vrácení jakékoliv nadměrné vyrovnávací platby sestává z povinnosti poskytovatele vrátit poměrnou část příspěvku podle § 98</w:t>
      </w:r>
      <w:r>
        <w:rPr>
          <w:rFonts w:ascii="Garamond" w:hAnsi="Garamond"/>
          <w:color w:val="000000" w:themeColor="text1"/>
        </w:rPr>
        <w:t xml:space="preserve"> odst. 1 nebo 2 zákona o podpoře bydlení</w:t>
      </w:r>
      <w:r w:rsidRPr="00B51FE5">
        <w:rPr>
          <w:rFonts w:ascii="Garamond" w:hAnsi="Garamond"/>
          <w:color w:val="000000" w:themeColor="text1"/>
        </w:rPr>
        <w:t xml:space="preserve"> nebo částku podle § 99 odst. 2 nebo 3 zákona o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 xml:space="preserve">podpoře bydlení, resp. v pravomoci Krajského úřadu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 xml:space="preserve">vyzvat v případě nesplnění jmenované povinnosti poskytovatele k vrácení nevrácené částky podle § 101 odst. 1 zákona. </w:t>
      </w:r>
    </w:p>
    <w:p w14:paraId="63BE476C" w14:textId="77777777" w:rsidR="00B804CA" w:rsidRPr="00121579" w:rsidRDefault="00B804CA" w:rsidP="00B804CA">
      <w:pPr>
        <w:pStyle w:val="Text12b"/>
        <w:ind w:left="709"/>
        <w:rPr>
          <w:rFonts w:ascii="Garamond" w:hAnsi="Garamond"/>
          <w:b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Podle </w:t>
      </w:r>
      <w:r>
        <w:rPr>
          <w:rFonts w:ascii="Garamond" w:hAnsi="Garamond"/>
          <w:color w:val="000000" w:themeColor="text1"/>
        </w:rPr>
        <w:t>č</w:t>
      </w:r>
      <w:r w:rsidRPr="00B51FE5">
        <w:rPr>
          <w:rFonts w:ascii="Garamond" w:hAnsi="Garamond"/>
          <w:color w:val="000000" w:themeColor="text1"/>
        </w:rPr>
        <w:t xml:space="preserve">l. 4 Rozhodnutí platí, že poskytováním služby obecného hospodářského zájmu je dotčený podnik pověřen jedním nebo několika akty. Toto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 výkonem služeb obecného hospodářského zájmu tvoří spolu se zákonem o podpoře bydlení a jeho prováděcími předpisy a navazujícími rozhodnutími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 nedílný celek. Tímto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ověřením výkonem služeb obecného hospodářského zájmu nejsou dotčena práva a povinnosti, které poskytovateli vyplývají z účinného znění zákona o podpoře bydlení, které tento akt případně výslovně nezmiňuje.]</w:t>
      </w:r>
    </w:p>
    <w:p w14:paraId="15C6DC2B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08F9209C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5864C2FB" w14:textId="77777777" w:rsidR="00B804CA" w:rsidRPr="00121579" w:rsidRDefault="00B804CA" w:rsidP="00B804CA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Odůvodnění:</w:t>
      </w:r>
    </w:p>
    <w:p w14:paraId="2C990DDF" w14:textId="77777777" w:rsidR="00B804CA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06B5F311" w14:textId="77777777" w:rsidR="00B804CA" w:rsidRPr="00D56D9D" w:rsidRDefault="00B804CA" w:rsidP="00B804CA">
      <w:pPr>
        <w:jc w:val="both"/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>K I. výroku tohoto rozhodnutí:</w:t>
      </w:r>
    </w:p>
    <w:p w14:paraId="0D3A787E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172D3EC9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V případě, že došlo k vyhovění žádosti v plném rozsahu, tj. včetně stanovení požadovaného režimu poskytnutí veřejné podpory, je možné zvažovat aplikaci § 68 odst. 4 správního řádu a</w:t>
      </w:r>
      <w:r>
        <w:rPr>
          <w:rFonts w:ascii="Garamond" w:eastAsia="Garamond" w:hAnsi="Garamond" w:cs="Garamond"/>
          <w:color w:val="000000" w:themeColor="text1"/>
          <w:highlight w:val="yellow"/>
          <w:u w:val="single"/>
        </w:rPr>
        <w:t> </w:t>
      </w: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neodůvodňovat I. výrok rozhodnutí. II. výrok je třeba vždy odůvodnit:</w:t>
      </w:r>
      <w:r>
        <w:rPr>
          <w:rFonts w:ascii="Garamond" w:eastAsia="Garamond" w:hAnsi="Garamond" w:cs="Garamond"/>
          <w:color w:val="000000" w:themeColor="text1"/>
        </w:rPr>
        <w:t xml:space="preserve"> [</w:t>
      </w:r>
      <w:r w:rsidRPr="00121579">
        <w:rPr>
          <w:rFonts w:ascii="Garamond" w:eastAsia="Garamond" w:hAnsi="Garamond" w:cs="Garamond"/>
          <w:color w:val="000000" w:themeColor="text1"/>
        </w:rPr>
        <w:t>V souladu s § 68 odst. 4 zákona č. 500/2004 Sb., správního řádu, neodůvodňujeme I. výrok tohoto rozhodnutí.</w:t>
      </w:r>
      <w:r>
        <w:rPr>
          <w:rFonts w:ascii="Garamond" w:eastAsia="Garamond" w:hAnsi="Garamond" w:cs="Garamond"/>
          <w:color w:val="000000" w:themeColor="text1"/>
        </w:rPr>
        <w:t>]</w:t>
      </w:r>
    </w:p>
    <w:p w14:paraId="3DCE63A9" w14:textId="77777777" w:rsidR="00B804CA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31D21E8A" w14:textId="77777777" w:rsidR="00B804CA" w:rsidRPr="00D56D9D" w:rsidRDefault="00B804CA" w:rsidP="00B804CA">
      <w:pPr>
        <w:jc w:val="both"/>
        <w:rPr>
          <w:rFonts w:ascii="Garamond" w:eastAsia="Garamond" w:hAnsi="Garamond" w:cs="Garamond"/>
          <w:i/>
          <w:iCs/>
          <w:color w:val="000000" w:themeColor="text1"/>
        </w:rPr>
      </w:pP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…zde je třeba uvést odůvodnění rozhodnutí o udělení pověření, tj. skutkové okolnosti</w:t>
      </w:r>
      <w:r>
        <w:rPr>
          <w:rFonts w:ascii="Garamond" w:eastAsia="Garamond" w:hAnsi="Garamond" w:cs="Garamond"/>
          <w:i/>
          <w:iCs/>
          <w:color w:val="000000" w:themeColor="text1"/>
          <w:highlight w:val="yellow"/>
        </w:rPr>
        <w:t xml:space="preserve"> konkrétního případu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, aplikovaná ustanovení atp.</w:t>
      </w:r>
    </w:p>
    <w:p w14:paraId="64EA6D4C" w14:textId="77777777" w:rsidR="00B804CA" w:rsidRPr="00121579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106FDC4C" w14:textId="77777777" w:rsidR="00B804CA" w:rsidRPr="00D56D9D" w:rsidRDefault="00B804CA" w:rsidP="00B804CA">
      <w:pPr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lastRenderedPageBreak/>
        <w:t xml:space="preserve">K II. výroku tohoto rozhodnutí: </w:t>
      </w:r>
    </w:p>
    <w:p w14:paraId="2E63015D" w14:textId="77777777" w:rsidR="00B804CA" w:rsidRDefault="00B804CA" w:rsidP="00B804CA">
      <w:pPr>
        <w:rPr>
          <w:rFonts w:ascii="Garamond" w:eastAsia="Garamond" w:hAnsi="Garamond" w:cs="Garamond"/>
          <w:color w:val="000000" w:themeColor="text1"/>
        </w:rPr>
      </w:pPr>
    </w:p>
    <w:p w14:paraId="273817A4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P</w:t>
      </w:r>
      <w:r w:rsidRPr="00121579">
        <w:rPr>
          <w:rFonts w:ascii="Garamond" w:eastAsia="Garamond" w:hAnsi="Garamond" w:cs="Garamond"/>
          <w:color w:val="000000" w:themeColor="text1"/>
        </w:rPr>
        <w:t>ři stanovení režimu podpory jsme postupovali v souladu s § 111 odst. 7 zákona o podpoře bydlení.</w:t>
      </w:r>
    </w:p>
    <w:p w14:paraId="2DEFB3AA" w14:textId="77777777" w:rsidR="00B804CA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5FCC465D" w14:textId="77777777" w:rsidR="00B804CA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V žádosti jste uvedl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/a</w:t>
      </w:r>
      <w:r>
        <w:rPr>
          <w:rFonts w:ascii="Garamond" w:eastAsia="Garamond" w:hAnsi="Garamond" w:cs="Garamond"/>
          <w:color w:val="000000" w:themeColor="text1"/>
        </w:rPr>
        <w:t xml:space="preserve"> jako preferovaný režim veřejné podpory 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 xml:space="preserve">režim 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de minimis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/režim vyrovnávací platby.</w:t>
      </w:r>
    </w:p>
    <w:p w14:paraId="3AB4542C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30DF586" w14:textId="77777777" w:rsidR="00B804CA" w:rsidRPr="004B4D43" w:rsidRDefault="00B804CA" w:rsidP="00B804CA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Při zvolení režimu </w:t>
      </w:r>
      <w:r w:rsidRPr="00D56D9D">
        <w:rPr>
          <w:rFonts w:ascii="Garamond" w:eastAsia="Garamond" w:hAnsi="Garamond" w:cs="Garamond"/>
          <w:i/>
          <w:iCs/>
          <w:highlight w:val="yellow"/>
          <w:u w:val="single"/>
        </w:rPr>
        <w:t>de minimis</w:t>
      </w:r>
      <w:r>
        <w:rPr>
          <w:rFonts w:ascii="Garamond" w:eastAsia="Garamond" w:hAnsi="Garamond" w:cs="Garamond"/>
          <w:highlight w:val="yellow"/>
          <w:u w:val="single"/>
        </w:rPr>
        <w:t xml:space="preserve"> ponechat</w:t>
      </w:r>
      <w:r w:rsidRPr="007E371B">
        <w:rPr>
          <w:rFonts w:ascii="Garamond" w:eastAsia="Garamond" w:hAnsi="Garamond" w:cs="Garamond"/>
          <w:highlight w:val="yellow"/>
          <w:u w:val="single"/>
        </w:rPr>
        <w:t>:</w:t>
      </w:r>
    </w:p>
    <w:p w14:paraId="3990F1D8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</w:p>
    <w:p w14:paraId="089AAEFC" w14:textId="77777777" w:rsidR="00B804CA" w:rsidRPr="00534D2E" w:rsidRDefault="00B804CA" w:rsidP="00B804CA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534D2E">
        <w:rPr>
          <w:rFonts w:ascii="Garamond" w:eastAsia="Garamond" w:hAnsi="Garamond" w:cs="Garamond"/>
        </w:rPr>
        <w:t>Vaše žádost o udělení</w:t>
      </w:r>
      <w:r>
        <w:rPr>
          <w:rFonts w:ascii="Garamond" w:eastAsia="Garamond" w:hAnsi="Garamond" w:cs="Garamond"/>
        </w:rPr>
        <w:t xml:space="preserve"> základního</w:t>
      </w:r>
      <w:r w:rsidRPr="00534D2E">
        <w:rPr>
          <w:rFonts w:ascii="Garamond" w:eastAsia="Garamond" w:hAnsi="Garamond" w:cs="Garamond"/>
        </w:rPr>
        <w:t xml:space="preserve"> pověření k</w:t>
      </w:r>
      <w:r>
        <w:rPr>
          <w:rFonts w:ascii="Garamond" w:eastAsia="Garamond" w:hAnsi="Garamond" w:cs="Garamond"/>
        </w:rPr>
        <w:t> poskytování</w:t>
      </w:r>
      <w:r w:rsidRPr="00534D2E">
        <w:rPr>
          <w:rFonts w:ascii="Garamond" w:eastAsia="Garamond" w:hAnsi="Garamond" w:cs="Garamond"/>
        </w:rPr>
        <w:t xml:space="preserve">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</w:t>
      </w:r>
      <w:r>
        <w:rPr>
          <w:rFonts w:ascii="Garamond" w:eastAsia="Garamond" w:hAnsi="Garamond" w:cs="Garamond"/>
          <w:color w:val="000000" w:themeColor="text1"/>
        </w:rPr>
        <w:t xml:space="preserve"> tedy</w:t>
      </w:r>
      <w:r w:rsidRPr="00534D2E">
        <w:rPr>
          <w:rFonts w:ascii="Garamond" w:eastAsia="Garamond" w:hAnsi="Garamond" w:cs="Garamond"/>
        </w:rPr>
        <w:t xml:space="preserve"> byla posouzena z hlediska splnění podmínek pro poskytnutí podpory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 xml:space="preserve"> v</w:t>
      </w:r>
      <w:r>
        <w:rPr>
          <w:rFonts w:ascii="Garamond" w:eastAsia="Garamond" w:hAnsi="Garamond" w:cs="Garamond"/>
        </w:rPr>
        <w:t> </w:t>
      </w:r>
      <w:r w:rsidRPr="00534D2E">
        <w:rPr>
          <w:rFonts w:ascii="Garamond" w:eastAsia="Garamond" w:hAnsi="Garamond" w:cs="Garamond"/>
        </w:rPr>
        <w:t>režimu služeb obecného hospodářského zájmu podle</w:t>
      </w:r>
      <w:r>
        <w:rPr>
          <w:rFonts w:ascii="Garamond" w:eastAsia="Garamond" w:hAnsi="Garamond" w:cs="Garamond"/>
        </w:rPr>
        <w:t xml:space="preserve"> čl. 3</w:t>
      </w:r>
      <w:r w:rsidRPr="00534D2E">
        <w:rPr>
          <w:rFonts w:ascii="Garamond" w:eastAsia="Garamond" w:hAnsi="Garamond" w:cs="Garamond"/>
        </w:rPr>
        <w:t xml:space="preserve"> Nařízení Komise.</w:t>
      </w:r>
    </w:p>
    <w:p w14:paraId="31379FE9" w14:textId="77777777" w:rsidR="00B804CA" w:rsidRDefault="00B804CA" w:rsidP="00B804CA">
      <w:pPr>
        <w:rPr>
          <w:rFonts w:ascii="Garamond" w:eastAsia="Garamond" w:hAnsi="Garamond" w:cs="Garamond"/>
        </w:rPr>
      </w:pPr>
    </w:p>
    <w:p w14:paraId="3DFE877C" w14:textId="77777777" w:rsidR="00B804CA" w:rsidRPr="00534D2E" w:rsidRDefault="00B804CA" w:rsidP="00B804CA">
      <w:p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Ověřili jsme, že:</w:t>
      </w:r>
    </w:p>
    <w:p w14:paraId="68A071B7" w14:textId="77777777" w:rsidR="00B804CA" w:rsidRPr="00534D2E" w:rsidRDefault="00B804CA" w:rsidP="00B804CA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jste podnikem ve smyslu práva Evropské unie,</w:t>
      </w:r>
    </w:p>
    <w:p w14:paraId="6E37793B" w14:textId="77777777" w:rsidR="00B804CA" w:rsidRPr="00534D2E" w:rsidRDefault="00B804CA" w:rsidP="00B804CA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 xml:space="preserve">poskytovaná služba má charakter služby obecného hospodářského zájmu ve smyslu § 111 odst. </w:t>
      </w:r>
      <w:r>
        <w:rPr>
          <w:rFonts w:ascii="Garamond" w:eastAsia="Garamond" w:hAnsi="Garamond" w:cs="Garamond"/>
        </w:rPr>
        <w:t>1</w:t>
      </w:r>
      <w:r w:rsidRPr="00534D2E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534D2E">
        <w:rPr>
          <w:rFonts w:ascii="Garamond" w:eastAsia="Garamond" w:hAnsi="Garamond" w:cs="Garamond"/>
        </w:rPr>
        <w:t>,</w:t>
      </w:r>
    </w:p>
    <w:p w14:paraId="6132C105" w14:textId="77777777" w:rsidR="00B804CA" w:rsidRPr="00534D2E" w:rsidRDefault="00B804CA" w:rsidP="00B804CA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podle Centrálního registru podpor malého rozsahu nedojde poskytnutím podpory k přesáhnutí</w:t>
      </w:r>
      <w:r w:rsidRPr="00534D2E">
        <w:rPr>
          <w:rFonts w:ascii="Garamond" w:eastAsia="Garamond" w:hAnsi="Garamond" w:cs="Garamond"/>
        </w:rPr>
        <w:t xml:space="preserve"> limit</w:t>
      </w:r>
      <w:r>
        <w:rPr>
          <w:rFonts w:ascii="Garamond" w:eastAsia="Garamond" w:hAnsi="Garamond" w:cs="Garamond"/>
        </w:rPr>
        <w:t>u</w:t>
      </w:r>
      <w:r w:rsidRPr="00534D2E">
        <w:rPr>
          <w:rFonts w:ascii="Garamond" w:eastAsia="Garamond" w:hAnsi="Garamond" w:cs="Garamond"/>
        </w:rPr>
        <w:t xml:space="preserve"> 750 000 EUR za tři fiskální roky stanoven</w:t>
      </w:r>
      <w:r>
        <w:rPr>
          <w:rFonts w:ascii="Garamond" w:eastAsia="Garamond" w:hAnsi="Garamond" w:cs="Garamond"/>
        </w:rPr>
        <w:t>ého</w:t>
      </w:r>
      <w:r w:rsidRPr="00534D2E">
        <w:rPr>
          <w:rFonts w:ascii="Garamond" w:eastAsia="Garamond" w:hAnsi="Garamond" w:cs="Garamond"/>
        </w:rPr>
        <w:t xml:space="preserve"> v čl. 3 odst. 2 </w:t>
      </w:r>
      <w:r>
        <w:rPr>
          <w:rFonts w:ascii="Garamond" w:eastAsia="Garamond" w:hAnsi="Garamond" w:cs="Garamond"/>
        </w:rPr>
        <w:t>Nařízení Komise,</w:t>
      </w:r>
    </w:p>
    <w:p w14:paraId="7323CEEE" w14:textId="77777777" w:rsidR="00B804CA" w:rsidRDefault="00B804CA" w:rsidP="00B804CA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podpora bude poskytnuta transparentním způsobem a bude řádně evidována v Centrálním registru podpor malého rozsahu</w:t>
      </w:r>
      <w:r>
        <w:rPr>
          <w:rFonts w:ascii="Garamond" w:eastAsia="Garamond" w:hAnsi="Garamond" w:cs="Garamond"/>
        </w:rPr>
        <w:t xml:space="preserve"> a</w:t>
      </w:r>
    </w:p>
    <w:p w14:paraId="3FC672CD" w14:textId="77777777" w:rsidR="00B804CA" w:rsidRPr="0070165D" w:rsidRDefault="00B804CA" w:rsidP="00B804CA">
      <w:pPr>
        <w:pStyle w:val="Odstavecseseznamem"/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70165D">
        <w:rPr>
          <w:rFonts w:ascii="Garamond" w:eastAsia="Garamond" w:hAnsi="Garamond" w:cs="Garamond"/>
        </w:rPr>
        <w:t xml:space="preserve">z Vašeho čestného prohlášení vyplývá, že není propojen s jiným podnikem (ve smyslu čl. 3 odst. 3 přílohy doporučení Komise 2003/361/ES ze dne 6. května 2003 o definici mikropodniků a malých a středních podniků) a v posledních 36 měsících nevznikl rozdělením jiného podniku, spojením podniků ani nabytím podniku, k jejich čerpání podpor v 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70165D">
        <w:rPr>
          <w:rFonts w:ascii="Garamond" w:eastAsia="Garamond" w:hAnsi="Garamond" w:cs="Garamond"/>
        </w:rPr>
        <w:t xml:space="preserve"> by bylo třeba přihlédnout podle čl. 3 odst. 8</w:t>
      </w:r>
      <w:r>
        <w:rPr>
          <w:rFonts w:ascii="Garamond" w:eastAsia="Garamond" w:hAnsi="Garamond" w:cs="Garamond"/>
        </w:rPr>
        <w:t xml:space="preserve"> nebo</w:t>
      </w:r>
      <w:r w:rsidRPr="0070165D">
        <w:rPr>
          <w:rFonts w:ascii="Garamond" w:eastAsia="Garamond" w:hAnsi="Garamond" w:cs="Garamond"/>
        </w:rPr>
        <w:t xml:space="preserve"> 9 Nařízení Komise.</w:t>
      </w:r>
    </w:p>
    <w:p w14:paraId="3B2F035B" w14:textId="77777777" w:rsidR="00B804CA" w:rsidRPr="00534D2E" w:rsidRDefault="00B804CA" w:rsidP="00B804CA">
      <w:pPr>
        <w:jc w:val="both"/>
        <w:rPr>
          <w:rFonts w:ascii="Garamond" w:eastAsia="Garamond" w:hAnsi="Garamond" w:cs="Garamond"/>
        </w:rPr>
      </w:pPr>
    </w:p>
    <w:p w14:paraId="15A08E95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Vzhledem ke skutečnosti, že došlo ke splnění všech výše uvedených podmínek</w:t>
      </w:r>
      <w:r w:rsidRPr="00534D2E">
        <w:rPr>
          <w:rFonts w:ascii="Garamond" w:eastAsia="Garamond" w:hAnsi="Garamond" w:cs="Garamond"/>
        </w:rPr>
        <w:t xml:space="preserve"> jsme rozhodli o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>.</w:t>
      </w:r>
    </w:p>
    <w:p w14:paraId="4B8A9969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</w:p>
    <w:p w14:paraId="1F2C1C3A" w14:textId="77777777" w:rsidR="00B804CA" w:rsidRPr="00D56D9D" w:rsidRDefault="00B804CA" w:rsidP="00B804CA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 xml:space="preserve">Pokud by v budoucnu mělo dojít k překročení limitu </w:t>
      </w:r>
      <w:r w:rsidRPr="00D56D9D">
        <w:rPr>
          <w:rFonts w:ascii="Garamond" w:eastAsia="Garamond" w:hAnsi="Garamond" w:cs="Garamond"/>
          <w:i/>
          <w:iCs/>
        </w:rPr>
        <w:t>de minimis</w:t>
      </w:r>
      <w:r>
        <w:rPr>
          <w:rFonts w:ascii="Garamond" w:eastAsia="Garamond" w:hAnsi="Garamond" w:cs="Garamond"/>
        </w:rPr>
        <w:t>, bude třeba pro zákonné přiznání příspěvků změnit režim veřejné podpory, a to na Vaši žádost v souladu s § 111 odst. 7 zákona o podpoře bydlení.]</w:t>
      </w:r>
    </w:p>
    <w:p w14:paraId="7A4390B1" w14:textId="77777777" w:rsidR="00B804CA" w:rsidRDefault="00B804CA" w:rsidP="00B804CA">
      <w:pPr>
        <w:jc w:val="both"/>
        <w:rPr>
          <w:rFonts w:ascii="Garamond" w:eastAsia="Garamond" w:hAnsi="Garamond" w:cs="Garamond"/>
          <w:highlight w:val="yellow"/>
          <w:u w:val="single"/>
        </w:rPr>
      </w:pPr>
    </w:p>
    <w:p w14:paraId="0D12DC47" w14:textId="77777777" w:rsidR="00B804CA" w:rsidRPr="00E872A2" w:rsidRDefault="00B804CA" w:rsidP="00B804CA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Alternativně </w:t>
      </w:r>
      <w:r>
        <w:rPr>
          <w:rFonts w:ascii="Garamond" w:eastAsia="Garamond" w:hAnsi="Garamond" w:cs="Garamond"/>
          <w:highlight w:val="yellow"/>
          <w:u w:val="single"/>
        </w:rPr>
        <w:t xml:space="preserve">ponechat </w:t>
      </w:r>
      <w:r w:rsidRPr="007E371B">
        <w:rPr>
          <w:rFonts w:ascii="Garamond" w:eastAsia="Garamond" w:hAnsi="Garamond" w:cs="Garamond"/>
          <w:highlight w:val="yellow"/>
          <w:u w:val="single"/>
        </w:rPr>
        <w:t>v případě zvolení režimu vyrovnávací platby:</w:t>
      </w:r>
    </w:p>
    <w:p w14:paraId="27993A94" w14:textId="77777777" w:rsidR="00B804CA" w:rsidRDefault="00B804CA" w:rsidP="00B804CA">
      <w:pPr>
        <w:jc w:val="both"/>
        <w:rPr>
          <w:rFonts w:ascii="Garamond" w:eastAsia="Garamond" w:hAnsi="Garamond" w:cs="Garamond"/>
          <w:i/>
          <w:iCs/>
        </w:rPr>
      </w:pPr>
    </w:p>
    <w:p w14:paraId="3C690EBE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C240A9">
        <w:rPr>
          <w:rFonts w:ascii="Garamond" w:eastAsia="Garamond" w:hAnsi="Garamond" w:cs="Garamond"/>
        </w:rPr>
        <w:t>Vaše žádost</w:t>
      </w:r>
      <w:r>
        <w:rPr>
          <w:rFonts w:ascii="Garamond" w:eastAsia="Garamond" w:hAnsi="Garamond" w:cs="Garamond"/>
        </w:rPr>
        <w:t xml:space="preserve"> </w:t>
      </w:r>
      <w:r w:rsidRPr="00534D2E">
        <w:rPr>
          <w:rFonts w:ascii="Garamond" w:eastAsia="Garamond" w:hAnsi="Garamond" w:cs="Garamond"/>
        </w:rPr>
        <w:t xml:space="preserve">o udělení </w:t>
      </w:r>
      <w:r>
        <w:rPr>
          <w:rFonts w:ascii="Garamond" w:eastAsia="Garamond" w:hAnsi="Garamond" w:cs="Garamond"/>
        </w:rPr>
        <w:t xml:space="preserve">základního </w:t>
      </w:r>
      <w:r w:rsidRPr="00534D2E">
        <w:rPr>
          <w:rFonts w:ascii="Garamond" w:eastAsia="Garamond" w:hAnsi="Garamond" w:cs="Garamond"/>
        </w:rPr>
        <w:t xml:space="preserve">pověření k poskytování </w:t>
      </w:r>
      <w:r w:rsidRPr="001651C2">
        <w:rPr>
          <w:rFonts w:ascii="Garamond" w:eastAsia="Garamond" w:hAnsi="Garamond" w:cs="Garamond"/>
          <w:color w:val="000000" w:themeColor="text1"/>
        </w:rPr>
        <w:t>bydlení s ručením a podnájemního bydlení</w:t>
      </w:r>
      <w:r w:rsidRPr="00C240A9">
        <w:rPr>
          <w:rFonts w:ascii="Garamond" w:eastAsia="Garamond" w:hAnsi="Garamond" w:cs="Garamond"/>
        </w:rPr>
        <w:t xml:space="preserve"> byla posouzena z hlediska možnosti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podle Nařízení Komise (EU) 2023/2832. Vzhledem k předpokládané výši podpory a charakteru poskytované služby obecného hospodářského zájmu bylo shledáno, že režim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nelze aplikovat, neboť by </w:t>
      </w:r>
      <w:r>
        <w:rPr>
          <w:rFonts w:ascii="Garamond" w:eastAsia="Garamond" w:hAnsi="Garamond" w:cs="Garamond"/>
        </w:rPr>
        <w:t>pravděpodobně došlo</w:t>
      </w:r>
      <w:r w:rsidRPr="00C240A9">
        <w:rPr>
          <w:rFonts w:ascii="Garamond" w:eastAsia="Garamond" w:hAnsi="Garamond" w:cs="Garamond"/>
        </w:rPr>
        <w:t xml:space="preserve"> k překročení limitu 750 000 EUR za tři fiskální roky stanoveného v čl. 3 odst. 2 uvedeného nařízení.</w:t>
      </w:r>
    </w:p>
    <w:p w14:paraId="256753BC" w14:textId="77777777" w:rsidR="00B804CA" w:rsidRPr="00C240A9" w:rsidRDefault="00B804CA" w:rsidP="00B804CA">
      <w:pPr>
        <w:jc w:val="both"/>
        <w:rPr>
          <w:rFonts w:ascii="Garamond" w:eastAsia="Garamond" w:hAnsi="Garamond" w:cs="Garamond"/>
        </w:rPr>
      </w:pPr>
    </w:p>
    <w:p w14:paraId="08041C6E" w14:textId="77777777" w:rsidR="00B804CA" w:rsidRPr="00C240A9" w:rsidRDefault="00B804CA" w:rsidP="00B804CA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 xml:space="preserve">Z tohoto důvodu jsme podporu stanovili jako vyrovnávací platbu podle </w:t>
      </w:r>
      <w:r>
        <w:rPr>
          <w:rFonts w:ascii="Garamond" w:hAnsi="Garamond"/>
          <w:color w:val="000000" w:themeColor="text1"/>
        </w:rPr>
        <w:t>Rozhodnutí Komise</w:t>
      </w:r>
      <w:r w:rsidRPr="00C240A9">
        <w:rPr>
          <w:rFonts w:ascii="Garamond" w:eastAsia="Garamond" w:hAnsi="Garamond" w:cs="Garamond"/>
        </w:rPr>
        <w:t>. Podpora bude poskytována jako kompenzace za výkon závazku veřejné služby, přičemž jsme ověřili, že:</w:t>
      </w:r>
    </w:p>
    <w:p w14:paraId="20C3663B" w14:textId="77777777" w:rsidR="00B804CA" w:rsidRPr="00C240A9" w:rsidRDefault="00B804CA" w:rsidP="00B804CA">
      <w:pPr>
        <w:numPr>
          <w:ilvl w:val="0"/>
          <w:numId w:val="4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 xml:space="preserve">jste byl pověřen výkonem služby obecného hospodářského zájmu podle § 111 odst. </w:t>
      </w:r>
      <w:r>
        <w:rPr>
          <w:rFonts w:ascii="Garamond" w:eastAsia="Garamond" w:hAnsi="Garamond" w:cs="Garamond"/>
        </w:rPr>
        <w:t>1</w:t>
      </w:r>
      <w:r w:rsidRPr="00C240A9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C240A9">
        <w:rPr>
          <w:rFonts w:ascii="Garamond" w:eastAsia="Garamond" w:hAnsi="Garamond" w:cs="Garamond"/>
        </w:rPr>
        <w:t>.,</w:t>
      </w:r>
    </w:p>
    <w:p w14:paraId="033596BE" w14:textId="77777777" w:rsidR="00B804CA" w:rsidRPr="00C240A9" w:rsidRDefault="00B804CA" w:rsidP="00B804CA">
      <w:pPr>
        <w:numPr>
          <w:ilvl w:val="0"/>
          <w:numId w:val="4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služba má jasně vymezený veřejný účel a</w:t>
      </w:r>
    </w:p>
    <w:p w14:paraId="39E49811" w14:textId="77777777" w:rsidR="00B804CA" w:rsidRPr="00C240A9" w:rsidRDefault="00B804CA" w:rsidP="00B804CA">
      <w:pPr>
        <w:numPr>
          <w:ilvl w:val="0"/>
          <w:numId w:val="4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lastRenderedPageBreak/>
        <w:t>výše podpory odpovídá nákladům nezbytným pro výkon závazku veřejné služby a</w:t>
      </w:r>
      <w:r>
        <w:rPr>
          <w:rFonts w:ascii="Garamond" w:eastAsia="Garamond" w:hAnsi="Garamond" w:cs="Garamond"/>
        </w:rPr>
        <w:t> </w:t>
      </w:r>
      <w:r w:rsidRPr="00C240A9">
        <w:rPr>
          <w:rFonts w:ascii="Garamond" w:eastAsia="Garamond" w:hAnsi="Garamond" w:cs="Garamond"/>
        </w:rPr>
        <w:t>nedochází k nadměrné kompenzaci.</w:t>
      </w:r>
    </w:p>
    <w:p w14:paraId="11AAA1FE" w14:textId="77777777" w:rsidR="00B804CA" w:rsidRDefault="00B804CA" w:rsidP="00B804CA">
      <w:pPr>
        <w:jc w:val="both"/>
        <w:rPr>
          <w:rFonts w:ascii="Garamond" w:eastAsia="Garamond" w:hAnsi="Garamond" w:cs="Garamond"/>
        </w:rPr>
      </w:pPr>
    </w:p>
    <w:p w14:paraId="5A154146" w14:textId="77777777" w:rsidR="00B804CA" w:rsidRPr="00441F2C" w:rsidRDefault="00B804CA" w:rsidP="00B804CA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Na základě výše uvedeného jsme rozhodli o poskytnutí podpory v režimu vyrovnávací platby.</w:t>
      </w:r>
      <w:r>
        <w:rPr>
          <w:rFonts w:ascii="Garamond" w:eastAsia="Garamond" w:hAnsi="Garamond" w:cs="Garamond"/>
        </w:rPr>
        <w:t>]</w:t>
      </w:r>
    </w:p>
    <w:p w14:paraId="7C75F683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547F08DC" w14:textId="77777777" w:rsidR="00B804CA" w:rsidRPr="00121579" w:rsidRDefault="00B804CA" w:rsidP="00B804CA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2883B0C5" w14:textId="77777777" w:rsidR="00B804CA" w:rsidRPr="00121579" w:rsidRDefault="00B804CA" w:rsidP="00B804CA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Poučení:</w:t>
      </w:r>
    </w:p>
    <w:p w14:paraId="5F214F07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1BE1BB1A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Proti tomuto rozhodnutí se můžete odvolat do 15 dnů ode dne jeho doručení. Odvolání se podává u 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&lt;</w:t>
      </w:r>
      <w:r w:rsidRPr="00121579">
        <w:rPr>
          <w:rFonts w:ascii="Garamond" w:eastAsia="Aptos" w:hAnsi="Garamond" w:cs="Calibri"/>
          <w:color w:val="000000" w:themeColor="text1"/>
          <w:szCs w:val="24"/>
          <w:highlight w:val="yellow"/>
        </w:rPr>
        <w:t>úřad vydávající rozhodnutí 2.pád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&gt;</w:t>
      </w: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, rozhodne o něm Ministerstvo pro místní rozvoj. </w:t>
      </w:r>
    </w:p>
    <w:p w14:paraId="3DD39C14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7A17779D" w14:textId="77777777" w:rsidR="00B804CA" w:rsidRPr="005221BF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Calibri" w:hAnsi="Garamond" w:cs="Calibri"/>
          <w:color w:val="000000" w:themeColor="text1"/>
          <w:szCs w:val="24"/>
        </w:rPr>
      </w:pPr>
      <w:r w:rsidRPr="00121579">
        <w:rPr>
          <w:rFonts w:ascii="Garamond" w:eastAsia="Calibri" w:hAnsi="Garamond" w:cs="Calibri"/>
          <w:color w:val="000000" w:themeColor="text1"/>
          <w:szCs w:val="24"/>
        </w:rPr>
        <w:t>Lhůta pro podání odvolání se počítá ode dne následujícího po dni doručení písemného vyhotovení rozhodnutí, nejpozději však po uplynutí desátého dne ode dne, kdy bylo nedoručené a uložené rozhodnutí připraveno k vyzvednutí.</w:t>
      </w:r>
    </w:p>
    <w:p w14:paraId="7154C5C2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5C3389C1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03888B4" w14:textId="77777777" w:rsidR="00B804CA" w:rsidRPr="00121579" w:rsidRDefault="00B804CA" w:rsidP="00B804CA">
      <w:pPr>
        <w:jc w:val="right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jméno podepisující osoby</w:t>
      </w:r>
      <w:r w:rsidRPr="00121579">
        <w:rPr>
          <w:rFonts w:ascii="Garamond" w:eastAsia="Aptos" w:hAnsi="Garamond" w:cs="Calibri"/>
          <w:color w:val="000000" w:themeColor="text1"/>
        </w:rPr>
        <w:t>&gt;</w:t>
      </w:r>
    </w:p>
    <w:p w14:paraId="53E14831" w14:textId="77777777" w:rsidR="00B804CA" w:rsidRPr="00121579" w:rsidRDefault="00B804CA" w:rsidP="00B804CA">
      <w:pPr>
        <w:jc w:val="right"/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  <w:highlight w:val="yellow"/>
        </w:rPr>
        <w:t>ředitelka odboru</w:t>
      </w:r>
    </w:p>
    <w:p w14:paraId="049B61BC" w14:textId="77777777" w:rsidR="00B804CA" w:rsidRPr="00121579" w:rsidRDefault="00B804CA" w:rsidP="00B804C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C123934" w14:textId="41AA0EB5" w:rsidR="7FED055E" w:rsidRPr="00B804CA" w:rsidRDefault="7FED055E" w:rsidP="00B804CA"/>
    <w:sectPr w:rsidR="7FED055E" w:rsidRPr="00B80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FD"/>
    <w:multiLevelType w:val="hybridMultilevel"/>
    <w:tmpl w:val="AB6E2240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06DD1"/>
    <w:multiLevelType w:val="hybridMultilevel"/>
    <w:tmpl w:val="DE90EA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E3AD5"/>
    <w:multiLevelType w:val="hybridMultilevel"/>
    <w:tmpl w:val="FD30B4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97116"/>
    <w:multiLevelType w:val="hybridMultilevel"/>
    <w:tmpl w:val="268ACA68"/>
    <w:lvl w:ilvl="0" w:tplc="00342A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88646">
    <w:abstractNumId w:val="0"/>
  </w:num>
  <w:num w:numId="2" w16cid:durableId="812521402">
    <w:abstractNumId w:val="3"/>
  </w:num>
  <w:num w:numId="3" w16cid:durableId="1104227566">
    <w:abstractNumId w:val="1"/>
  </w:num>
  <w:num w:numId="4" w16cid:durableId="1506284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253D4"/>
    <w:rsid w:val="00030CB3"/>
    <w:rsid w:val="00042FF4"/>
    <w:rsid w:val="0004312E"/>
    <w:rsid w:val="000453FC"/>
    <w:rsid w:val="00053D3B"/>
    <w:rsid w:val="00065FD6"/>
    <w:rsid w:val="00070FD4"/>
    <w:rsid w:val="00080118"/>
    <w:rsid w:val="0008427C"/>
    <w:rsid w:val="00085DA0"/>
    <w:rsid w:val="000B4464"/>
    <w:rsid w:val="000C0621"/>
    <w:rsid w:val="000C3551"/>
    <w:rsid w:val="000D68D0"/>
    <w:rsid w:val="000E6FC3"/>
    <w:rsid w:val="000F5F1E"/>
    <w:rsid w:val="000F6614"/>
    <w:rsid w:val="00103B6E"/>
    <w:rsid w:val="00104017"/>
    <w:rsid w:val="00105702"/>
    <w:rsid w:val="00107A98"/>
    <w:rsid w:val="001161FF"/>
    <w:rsid w:val="00121579"/>
    <w:rsid w:val="00127233"/>
    <w:rsid w:val="00132FED"/>
    <w:rsid w:val="00136A95"/>
    <w:rsid w:val="00145E1B"/>
    <w:rsid w:val="00155E62"/>
    <w:rsid w:val="00156153"/>
    <w:rsid w:val="001620FC"/>
    <w:rsid w:val="00163DDC"/>
    <w:rsid w:val="001651C2"/>
    <w:rsid w:val="0018117B"/>
    <w:rsid w:val="001A5FAA"/>
    <w:rsid w:val="001C12BC"/>
    <w:rsid w:val="001C251B"/>
    <w:rsid w:val="001E17A7"/>
    <w:rsid w:val="001F776E"/>
    <w:rsid w:val="0020534A"/>
    <w:rsid w:val="00210B25"/>
    <w:rsid w:val="002201B1"/>
    <w:rsid w:val="002258F6"/>
    <w:rsid w:val="002300F3"/>
    <w:rsid w:val="00236B22"/>
    <w:rsid w:val="00243DD5"/>
    <w:rsid w:val="002617A9"/>
    <w:rsid w:val="00280C37"/>
    <w:rsid w:val="00284B7A"/>
    <w:rsid w:val="002913EC"/>
    <w:rsid w:val="002A0AC7"/>
    <w:rsid w:val="002A1862"/>
    <w:rsid w:val="002B064B"/>
    <w:rsid w:val="002B4C90"/>
    <w:rsid w:val="002C76B9"/>
    <w:rsid w:val="002D2450"/>
    <w:rsid w:val="002E62EA"/>
    <w:rsid w:val="003014B0"/>
    <w:rsid w:val="0030215D"/>
    <w:rsid w:val="00307FF3"/>
    <w:rsid w:val="00311FB4"/>
    <w:rsid w:val="00324773"/>
    <w:rsid w:val="003272B4"/>
    <w:rsid w:val="00336D3F"/>
    <w:rsid w:val="003631F6"/>
    <w:rsid w:val="00366C50"/>
    <w:rsid w:val="003701C0"/>
    <w:rsid w:val="00376856"/>
    <w:rsid w:val="00380466"/>
    <w:rsid w:val="003A1098"/>
    <w:rsid w:val="003A263B"/>
    <w:rsid w:val="003A3666"/>
    <w:rsid w:val="003A66E7"/>
    <w:rsid w:val="003B5761"/>
    <w:rsid w:val="003C20FB"/>
    <w:rsid w:val="003C3078"/>
    <w:rsid w:val="003D26D5"/>
    <w:rsid w:val="003F12C3"/>
    <w:rsid w:val="00400FA3"/>
    <w:rsid w:val="004032E5"/>
    <w:rsid w:val="00406ED7"/>
    <w:rsid w:val="0042241F"/>
    <w:rsid w:val="00422C3A"/>
    <w:rsid w:val="00441F2C"/>
    <w:rsid w:val="004434AE"/>
    <w:rsid w:val="00472425"/>
    <w:rsid w:val="004861C0"/>
    <w:rsid w:val="004903D7"/>
    <w:rsid w:val="004A5CB4"/>
    <w:rsid w:val="004B3ECD"/>
    <w:rsid w:val="004B42E1"/>
    <w:rsid w:val="004B4D43"/>
    <w:rsid w:val="004C5789"/>
    <w:rsid w:val="004D0145"/>
    <w:rsid w:val="004D0FFC"/>
    <w:rsid w:val="004D17A1"/>
    <w:rsid w:val="004D4E4D"/>
    <w:rsid w:val="005006C0"/>
    <w:rsid w:val="005221BF"/>
    <w:rsid w:val="00553CDF"/>
    <w:rsid w:val="00562FED"/>
    <w:rsid w:val="005A56CE"/>
    <w:rsid w:val="005A674C"/>
    <w:rsid w:val="005C1E71"/>
    <w:rsid w:val="005C6740"/>
    <w:rsid w:val="005C7684"/>
    <w:rsid w:val="005D046C"/>
    <w:rsid w:val="005D2D00"/>
    <w:rsid w:val="005D4107"/>
    <w:rsid w:val="005D5B0B"/>
    <w:rsid w:val="005E62BC"/>
    <w:rsid w:val="005F3D7D"/>
    <w:rsid w:val="00604A39"/>
    <w:rsid w:val="00604F4D"/>
    <w:rsid w:val="0061652D"/>
    <w:rsid w:val="00624E17"/>
    <w:rsid w:val="00631C68"/>
    <w:rsid w:val="00652E70"/>
    <w:rsid w:val="00654FC8"/>
    <w:rsid w:val="006650CB"/>
    <w:rsid w:val="006855E6"/>
    <w:rsid w:val="006930EE"/>
    <w:rsid w:val="006944FE"/>
    <w:rsid w:val="006C0D7C"/>
    <w:rsid w:val="006D02A7"/>
    <w:rsid w:val="006D2E48"/>
    <w:rsid w:val="006D5EBC"/>
    <w:rsid w:val="006F1E16"/>
    <w:rsid w:val="0070474A"/>
    <w:rsid w:val="00707AF9"/>
    <w:rsid w:val="00721054"/>
    <w:rsid w:val="00724D53"/>
    <w:rsid w:val="00725DCA"/>
    <w:rsid w:val="00726AAC"/>
    <w:rsid w:val="007312FC"/>
    <w:rsid w:val="00734B2D"/>
    <w:rsid w:val="00734D7A"/>
    <w:rsid w:val="0073600D"/>
    <w:rsid w:val="00740A92"/>
    <w:rsid w:val="0074181F"/>
    <w:rsid w:val="00741F38"/>
    <w:rsid w:val="00742F96"/>
    <w:rsid w:val="007579A2"/>
    <w:rsid w:val="00757B17"/>
    <w:rsid w:val="00767F5D"/>
    <w:rsid w:val="00775CF2"/>
    <w:rsid w:val="00781469"/>
    <w:rsid w:val="00793B8B"/>
    <w:rsid w:val="007B0205"/>
    <w:rsid w:val="007B3311"/>
    <w:rsid w:val="007B418B"/>
    <w:rsid w:val="007B7BDF"/>
    <w:rsid w:val="007E2689"/>
    <w:rsid w:val="007E297A"/>
    <w:rsid w:val="007F23AC"/>
    <w:rsid w:val="0080181E"/>
    <w:rsid w:val="00805BD3"/>
    <w:rsid w:val="0080682C"/>
    <w:rsid w:val="008215C3"/>
    <w:rsid w:val="008258CF"/>
    <w:rsid w:val="0085159C"/>
    <w:rsid w:val="00873CFC"/>
    <w:rsid w:val="008808A0"/>
    <w:rsid w:val="00882CEE"/>
    <w:rsid w:val="00883082"/>
    <w:rsid w:val="00885E0A"/>
    <w:rsid w:val="00890D85"/>
    <w:rsid w:val="00892386"/>
    <w:rsid w:val="008B45A7"/>
    <w:rsid w:val="008B6597"/>
    <w:rsid w:val="008D5EC8"/>
    <w:rsid w:val="008F3270"/>
    <w:rsid w:val="0090202D"/>
    <w:rsid w:val="00912070"/>
    <w:rsid w:val="00930E47"/>
    <w:rsid w:val="0093161A"/>
    <w:rsid w:val="00933A76"/>
    <w:rsid w:val="00961F50"/>
    <w:rsid w:val="009628C4"/>
    <w:rsid w:val="00971865"/>
    <w:rsid w:val="009740C6"/>
    <w:rsid w:val="00976157"/>
    <w:rsid w:val="009802C6"/>
    <w:rsid w:val="00982961"/>
    <w:rsid w:val="009B22DB"/>
    <w:rsid w:val="009B5D4B"/>
    <w:rsid w:val="009B797E"/>
    <w:rsid w:val="009D05ED"/>
    <w:rsid w:val="009D659E"/>
    <w:rsid w:val="009E5E4F"/>
    <w:rsid w:val="009F32C0"/>
    <w:rsid w:val="00A00576"/>
    <w:rsid w:val="00A0303E"/>
    <w:rsid w:val="00A3064C"/>
    <w:rsid w:val="00A37659"/>
    <w:rsid w:val="00A509B7"/>
    <w:rsid w:val="00A56BE1"/>
    <w:rsid w:val="00A63B23"/>
    <w:rsid w:val="00A810FC"/>
    <w:rsid w:val="00A86731"/>
    <w:rsid w:val="00A8686F"/>
    <w:rsid w:val="00AA4179"/>
    <w:rsid w:val="00AA4811"/>
    <w:rsid w:val="00AA4C2C"/>
    <w:rsid w:val="00AB6BCC"/>
    <w:rsid w:val="00AB6EB9"/>
    <w:rsid w:val="00AC6AD0"/>
    <w:rsid w:val="00AE57AA"/>
    <w:rsid w:val="00AF402C"/>
    <w:rsid w:val="00B26DBC"/>
    <w:rsid w:val="00B30F76"/>
    <w:rsid w:val="00B468CD"/>
    <w:rsid w:val="00B51FE5"/>
    <w:rsid w:val="00B520F9"/>
    <w:rsid w:val="00B53742"/>
    <w:rsid w:val="00B65794"/>
    <w:rsid w:val="00B67B33"/>
    <w:rsid w:val="00B71A07"/>
    <w:rsid w:val="00B804CA"/>
    <w:rsid w:val="00B80AEE"/>
    <w:rsid w:val="00B82FE2"/>
    <w:rsid w:val="00B90DC7"/>
    <w:rsid w:val="00B93756"/>
    <w:rsid w:val="00BA06DD"/>
    <w:rsid w:val="00BC0605"/>
    <w:rsid w:val="00BD617F"/>
    <w:rsid w:val="00BE5F0E"/>
    <w:rsid w:val="00BF657E"/>
    <w:rsid w:val="00C03D42"/>
    <w:rsid w:val="00C23904"/>
    <w:rsid w:val="00C263F9"/>
    <w:rsid w:val="00C578F0"/>
    <w:rsid w:val="00CA4B48"/>
    <w:rsid w:val="00CC577F"/>
    <w:rsid w:val="00CD1DF3"/>
    <w:rsid w:val="00CE2607"/>
    <w:rsid w:val="00CF0E69"/>
    <w:rsid w:val="00CF4D7D"/>
    <w:rsid w:val="00D00688"/>
    <w:rsid w:val="00D10C40"/>
    <w:rsid w:val="00D12DB8"/>
    <w:rsid w:val="00D22FA0"/>
    <w:rsid w:val="00D53D98"/>
    <w:rsid w:val="00D86FC9"/>
    <w:rsid w:val="00D92E59"/>
    <w:rsid w:val="00D94F6A"/>
    <w:rsid w:val="00DA3935"/>
    <w:rsid w:val="00DA52E3"/>
    <w:rsid w:val="00DA5CCA"/>
    <w:rsid w:val="00DB5531"/>
    <w:rsid w:val="00DB758D"/>
    <w:rsid w:val="00DC0A00"/>
    <w:rsid w:val="00DC2CC9"/>
    <w:rsid w:val="00DE0CF5"/>
    <w:rsid w:val="00DE2809"/>
    <w:rsid w:val="00DF28E4"/>
    <w:rsid w:val="00E20DDB"/>
    <w:rsid w:val="00E2514F"/>
    <w:rsid w:val="00E37352"/>
    <w:rsid w:val="00E40E38"/>
    <w:rsid w:val="00E41AAE"/>
    <w:rsid w:val="00E6084B"/>
    <w:rsid w:val="00E60AC5"/>
    <w:rsid w:val="00E65920"/>
    <w:rsid w:val="00E72738"/>
    <w:rsid w:val="00E75C32"/>
    <w:rsid w:val="00E82731"/>
    <w:rsid w:val="00E872A2"/>
    <w:rsid w:val="00EA01EB"/>
    <w:rsid w:val="00EA0C69"/>
    <w:rsid w:val="00EC08AA"/>
    <w:rsid w:val="00EC40FD"/>
    <w:rsid w:val="00EC5091"/>
    <w:rsid w:val="00ED5165"/>
    <w:rsid w:val="00EF0C89"/>
    <w:rsid w:val="00EF7031"/>
    <w:rsid w:val="00F00F45"/>
    <w:rsid w:val="00F06BE8"/>
    <w:rsid w:val="00F15D26"/>
    <w:rsid w:val="00F15D47"/>
    <w:rsid w:val="00F205CF"/>
    <w:rsid w:val="00F30697"/>
    <w:rsid w:val="00F31837"/>
    <w:rsid w:val="00F35066"/>
    <w:rsid w:val="00F37FE7"/>
    <w:rsid w:val="00F6680F"/>
    <w:rsid w:val="00F84087"/>
    <w:rsid w:val="00F8447D"/>
    <w:rsid w:val="00F8538E"/>
    <w:rsid w:val="00FA4DE0"/>
    <w:rsid w:val="00FA6D06"/>
    <w:rsid w:val="00FB56B5"/>
    <w:rsid w:val="00FB5D2A"/>
    <w:rsid w:val="00FB6BDE"/>
    <w:rsid w:val="00FC3FD4"/>
    <w:rsid w:val="00FD1148"/>
    <w:rsid w:val="00FE62CA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4DBB16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D2D3B38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04CA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8215C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215C3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customStyle="1" w:styleId="Text12b">
    <w:name w:val="Text_12b"/>
    <w:basedOn w:val="Normln"/>
    <w:link w:val="Text12bChar"/>
    <w:qFormat/>
    <w:rsid w:val="00F37FE7"/>
    <w:pPr>
      <w:jc w:val="both"/>
    </w:pPr>
    <w:rPr>
      <w:rFonts w:ascii="Arial" w:hAnsi="Arial" w:cs="Arial"/>
      <w:kern w:val="0"/>
      <w14:ligatures w14:val="none"/>
    </w:rPr>
  </w:style>
  <w:style w:type="character" w:customStyle="1" w:styleId="Text12bChar">
    <w:name w:val="Text_12b Char"/>
    <w:basedOn w:val="Standardnpsmoodstavce"/>
    <w:link w:val="Text12b"/>
    <w:rsid w:val="00F37FE7"/>
    <w:rPr>
      <w:rFonts w:ascii="Arial" w:hAnsi="Arial" w:cs="Arial"/>
      <w:kern w:val="0"/>
      <w14:ligatures w14:val="none"/>
    </w:rPr>
  </w:style>
  <w:style w:type="paragraph" w:styleId="Revize">
    <w:name w:val="Revision"/>
    <w:hidden/>
    <w:uiPriority w:val="99"/>
    <w:semiHidden/>
    <w:rsid w:val="00400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1250</Words>
  <Characters>7138</Characters>
  <Application>Microsoft Office Word</Application>
  <DocSecurity>0</DocSecurity>
  <Lines>158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Hána Matěj</cp:lastModifiedBy>
  <cp:revision>84</cp:revision>
  <dcterms:created xsi:type="dcterms:W3CDTF">2025-04-15T10:49:00Z</dcterms:created>
  <dcterms:modified xsi:type="dcterms:W3CDTF">2026-03-09T16:04:00Z</dcterms:modified>
</cp:coreProperties>
</file>